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0264" w14:textId="77777777" w:rsidR="00D57034" w:rsidRPr="007564CF" w:rsidRDefault="00D57034" w:rsidP="00D57034">
      <w:pPr>
        <w:spacing w:line="276" w:lineRule="auto"/>
        <w:jc w:val="center"/>
        <w:rPr>
          <w:rFonts w:ascii="Arial" w:eastAsiaTheme="minorHAnsi" w:hAnsi="Arial" w:cs="Arial"/>
          <w:sz w:val="28"/>
          <w:szCs w:val="24"/>
        </w:rPr>
      </w:pPr>
      <w:r w:rsidRPr="007564CF">
        <w:rPr>
          <w:rFonts w:ascii="Arial" w:hAnsi="Arial" w:cs="Arial"/>
          <w:b/>
          <w:bCs/>
          <w:sz w:val="28"/>
          <w:szCs w:val="24"/>
        </w:rPr>
        <w:t>GRENDENE S.A.</w:t>
      </w:r>
    </w:p>
    <w:p w14:paraId="2BDD8215" w14:textId="77777777" w:rsidR="00D57034" w:rsidRPr="007564CF" w:rsidRDefault="00D57034" w:rsidP="00D57034">
      <w:pPr>
        <w:pStyle w:val="Default"/>
        <w:spacing w:line="276" w:lineRule="auto"/>
        <w:jc w:val="center"/>
        <w:rPr>
          <w:rFonts w:ascii="Arial" w:hAnsi="Arial" w:cs="Arial"/>
          <w:sz w:val="20"/>
          <w:szCs w:val="20"/>
        </w:rPr>
      </w:pPr>
      <w:r w:rsidRPr="007564CF">
        <w:rPr>
          <w:rFonts w:ascii="Arial" w:hAnsi="Arial" w:cs="Arial"/>
          <w:i/>
          <w:iCs/>
          <w:color w:val="auto"/>
          <w:sz w:val="20"/>
          <w:szCs w:val="20"/>
        </w:rPr>
        <w:t>Companhia aberta - CNPJ/MF n. 89.850.341/0001-60 - NIRE Nº. 23300021118-CE</w:t>
      </w:r>
    </w:p>
    <w:p w14:paraId="6BD42B9B" w14:textId="5F0DC3A3" w:rsidR="00D57034" w:rsidRPr="007564CF" w:rsidRDefault="00D57034" w:rsidP="002C5F33">
      <w:pPr>
        <w:spacing w:line="276" w:lineRule="auto"/>
        <w:jc w:val="both"/>
        <w:rPr>
          <w:rFonts w:ascii="Arial" w:hAnsi="Arial" w:cs="Arial"/>
          <w:sz w:val="22"/>
        </w:rPr>
      </w:pPr>
    </w:p>
    <w:p w14:paraId="4599BA31" w14:textId="77777777" w:rsidR="00D57034" w:rsidRPr="007564CF" w:rsidRDefault="00D57034" w:rsidP="00D57034">
      <w:pPr>
        <w:spacing w:line="276" w:lineRule="auto"/>
        <w:jc w:val="center"/>
        <w:rPr>
          <w:rFonts w:ascii="Arial" w:hAnsi="Arial" w:cs="Arial"/>
          <w:sz w:val="28"/>
          <w:szCs w:val="24"/>
        </w:rPr>
      </w:pPr>
      <w:r w:rsidRPr="007564CF">
        <w:rPr>
          <w:rFonts w:ascii="Arial" w:hAnsi="Arial" w:cs="Arial"/>
          <w:b/>
          <w:bCs/>
          <w:sz w:val="28"/>
          <w:szCs w:val="24"/>
        </w:rPr>
        <w:t>FATO RELEVANTE</w:t>
      </w:r>
    </w:p>
    <w:p w14:paraId="3588BE65" w14:textId="2EAE6680" w:rsidR="00D57034" w:rsidRPr="007564CF" w:rsidRDefault="00D57034" w:rsidP="002C5F33">
      <w:pPr>
        <w:spacing w:line="276" w:lineRule="auto"/>
        <w:jc w:val="both"/>
        <w:rPr>
          <w:rFonts w:ascii="Arial" w:hAnsi="Arial" w:cs="Arial"/>
          <w:sz w:val="22"/>
        </w:rPr>
      </w:pPr>
    </w:p>
    <w:p w14:paraId="59FD054D" w14:textId="1B628D9B" w:rsidR="00D57034" w:rsidRPr="007564CF" w:rsidRDefault="00D57034" w:rsidP="00D57034">
      <w:pPr>
        <w:spacing w:line="276" w:lineRule="auto"/>
        <w:ind w:firstLine="708"/>
        <w:jc w:val="both"/>
        <w:rPr>
          <w:rFonts w:ascii="Arial" w:hAnsi="Arial" w:cs="Arial"/>
          <w:sz w:val="22"/>
        </w:rPr>
      </w:pPr>
      <w:r w:rsidRPr="007564CF">
        <w:rPr>
          <w:rFonts w:ascii="Arial" w:hAnsi="Arial" w:cs="Arial"/>
          <w:sz w:val="22"/>
        </w:rPr>
        <w:t xml:space="preserve">A </w:t>
      </w:r>
      <w:r w:rsidRPr="007564CF">
        <w:rPr>
          <w:rFonts w:ascii="Arial" w:hAnsi="Arial" w:cs="Arial"/>
          <w:b/>
          <w:bCs/>
          <w:smallCaps/>
          <w:sz w:val="22"/>
        </w:rPr>
        <w:t>Grendene S.A.</w:t>
      </w:r>
      <w:r w:rsidRPr="007564CF">
        <w:rPr>
          <w:rFonts w:ascii="Arial" w:hAnsi="Arial" w:cs="Arial"/>
          <w:smallCaps/>
          <w:sz w:val="22"/>
        </w:rPr>
        <w:t xml:space="preserve"> (“</w:t>
      </w:r>
      <w:r w:rsidRPr="007564CF">
        <w:rPr>
          <w:rFonts w:ascii="Arial" w:hAnsi="Arial" w:cs="Arial"/>
          <w:sz w:val="22"/>
          <w:u w:val="single"/>
        </w:rPr>
        <w:t>Companhia</w:t>
      </w:r>
      <w:r w:rsidRPr="007564CF">
        <w:rPr>
          <w:rFonts w:ascii="Arial" w:hAnsi="Arial" w:cs="Arial"/>
          <w:smallCaps/>
          <w:sz w:val="22"/>
        </w:rPr>
        <w:t xml:space="preserve">”) (GRND3), </w:t>
      </w:r>
      <w:r w:rsidRPr="007564CF">
        <w:rPr>
          <w:rFonts w:ascii="Arial" w:hAnsi="Arial" w:cs="Arial"/>
          <w:sz w:val="22"/>
        </w:rPr>
        <w:t xml:space="preserve">em atendimento à </w:t>
      </w:r>
      <w:r w:rsidR="002550F0" w:rsidRPr="007564CF">
        <w:rPr>
          <w:rFonts w:ascii="Arial" w:hAnsi="Arial" w:cs="Arial"/>
          <w:sz w:val="22"/>
        </w:rPr>
        <w:t>Resolução n°44 CVM, de 23 de agosto de 2021</w:t>
      </w:r>
      <w:r w:rsidRPr="007564CF">
        <w:rPr>
          <w:rFonts w:ascii="Arial" w:hAnsi="Arial" w:cs="Arial"/>
          <w:sz w:val="22"/>
        </w:rPr>
        <w:t>, notadamente o disposto no art. 2º, parágrafo único, inciso III, informa aos seus acionistas e ao mercado em geral que, foi celebrado e arquivado, nesta data, na sede da Companhia, o Instrumento Particular de Sexto Aditamento e Consolidação do Acordo de Acionistas da Companhia celebrado em 06 de outubro de 2004 e posteriores aditamentos celebrados, respectivamente, em 15 de junho de 2011, 30 de julho de 2013, 29 de julho de 2016, 18 de dezembro de 2017, 12 de novembro de 2018 (“</w:t>
      </w:r>
      <w:r w:rsidRPr="007564CF">
        <w:rPr>
          <w:rFonts w:ascii="Arial" w:hAnsi="Arial" w:cs="Arial"/>
          <w:sz w:val="22"/>
          <w:u w:val="single"/>
        </w:rPr>
        <w:t>Acordo de Acionistas</w:t>
      </w:r>
      <w:r w:rsidRPr="007564CF">
        <w:rPr>
          <w:rFonts w:ascii="Arial" w:hAnsi="Arial" w:cs="Arial"/>
          <w:sz w:val="22"/>
        </w:rPr>
        <w:t>”), entre Alexandre Grendene Barte</w:t>
      </w:r>
      <w:r w:rsidR="008A0DF6" w:rsidRPr="007564CF">
        <w:rPr>
          <w:rFonts w:ascii="Arial" w:hAnsi="Arial" w:cs="Arial"/>
          <w:sz w:val="22"/>
        </w:rPr>
        <w:t>l</w:t>
      </w:r>
      <w:r w:rsidRPr="007564CF">
        <w:rPr>
          <w:rFonts w:ascii="Arial" w:hAnsi="Arial" w:cs="Arial"/>
          <w:sz w:val="22"/>
        </w:rPr>
        <w:t>le (“Alexandre”) Pedro Grendene Bartelle (“</w:t>
      </w:r>
      <w:r w:rsidRPr="007564CF">
        <w:rPr>
          <w:rFonts w:ascii="Arial" w:hAnsi="Arial" w:cs="Arial"/>
          <w:sz w:val="22"/>
          <w:u w:val="single"/>
        </w:rPr>
        <w:t>Pedro</w:t>
      </w:r>
      <w:r w:rsidRPr="007564CF">
        <w:rPr>
          <w:rFonts w:ascii="Arial" w:hAnsi="Arial" w:cs="Arial"/>
          <w:sz w:val="22"/>
        </w:rPr>
        <w:t>”), Pedro Bartelle (“</w:t>
      </w:r>
      <w:r w:rsidRPr="007564CF">
        <w:rPr>
          <w:rFonts w:ascii="Arial" w:hAnsi="Arial" w:cs="Arial"/>
          <w:sz w:val="22"/>
          <w:u w:val="single"/>
        </w:rPr>
        <w:t>Pedro Filho</w:t>
      </w:r>
      <w:r w:rsidRPr="007564CF">
        <w:rPr>
          <w:rFonts w:ascii="Arial" w:hAnsi="Arial" w:cs="Arial"/>
          <w:sz w:val="22"/>
        </w:rPr>
        <w:t>”), Giovana Bartelle Velloso (“</w:t>
      </w:r>
      <w:r w:rsidRPr="007564CF">
        <w:rPr>
          <w:rFonts w:ascii="Arial" w:hAnsi="Arial" w:cs="Arial"/>
          <w:sz w:val="22"/>
          <w:u w:val="single"/>
        </w:rPr>
        <w:t>Giovana</w:t>
      </w:r>
      <w:r w:rsidRPr="007564CF">
        <w:rPr>
          <w:rFonts w:ascii="Arial" w:hAnsi="Arial" w:cs="Arial"/>
          <w:sz w:val="22"/>
        </w:rPr>
        <w:t>”), André de Camargo Bartelle (“</w:t>
      </w:r>
      <w:r w:rsidRPr="007564CF">
        <w:rPr>
          <w:rFonts w:ascii="Arial" w:hAnsi="Arial" w:cs="Arial"/>
          <w:sz w:val="22"/>
          <w:u w:val="single"/>
        </w:rPr>
        <w:t>André</w:t>
      </w:r>
      <w:r w:rsidRPr="007564CF">
        <w:rPr>
          <w:rFonts w:ascii="Arial" w:hAnsi="Arial" w:cs="Arial"/>
          <w:sz w:val="22"/>
        </w:rPr>
        <w:t>”) e Gabriella de Camargo Bartelle (“</w:t>
      </w:r>
      <w:r w:rsidRPr="007564CF">
        <w:rPr>
          <w:rFonts w:ascii="Arial" w:hAnsi="Arial" w:cs="Arial"/>
          <w:sz w:val="22"/>
          <w:u w:val="single"/>
        </w:rPr>
        <w:t>Gabriella</w:t>
      </w:r>
      <w:r w:rsidRPr="007564CF">
        <w:rPr>
          <w:rFonts w:ascii="Arial" w:hAnsi="Arial" w:cs="Arial"/>
          <w:sz w:val="22"/>
        </w:rPr>
        <w:t>”), com a anuência da Companhia, por meio do qual:</w:t>
      </w:r>
    </w:p>
    <w:p w14:paraId="5AC1484B" w14:textId="272F8B2B" w:rsidR="00D57034" w:rsidRPr="007564CF" w:rsidRDefault="00D57034" w:rsidP="002C5F33">
      <w:pPr>
        <w:spacing w:line="276" w:lineRule="auto"/>
        <w:jc w:val="both"/>
        <w:rPr>
          <w:rFonts w:ascii="Arial" w:hAnsi="Arial" w:cs="Arial"/>
          <w:sz w:val="22"/>
        </w:rPr>
      </w:pPr>
      <w:bookmarkStart w:id="0" w:name="_Hlk528686902"/>
      <w:bookmarkStart w:id="1" w:name="_Hlk528598955"/>
    </w:p>
    <w:p w14:paraId="43FF3F9C" w14:textId="67709C84" w:rsidR="00D57034" w:rsidRPr="007564CF" w:rsidRDefault="00D57034" w:rsidP="00D57034">
      <w:pPr>
        <w:pStyle w:val="PargrafodaLista"/>
        <w:numPr>
          <w:ilvl w:val="0"/>
          <w:numId w:val="3"/>
        </w:numPr>
        <w:spacing w:line="276" w:lineRule="auto"/>
        <w:jc w:val="both"/>
        <w:rPr>
          <w:rFonts w:ascii="Arial" w:eastAsia="Times New Roman" w:hAnsi="Arial" w:cs="Arial"/>
          <w:sz w:val="22"/>
        </w:rPr>
      </w:pPr>
      <w:r w:rsidRPr="007564CF">
        <w:rPr>
          <w:rFonts w:ascii="Arial" w:eastAsia="Times New Roman" w:hAnsi="Arial" w:cs="Arial"/>
          <w:sz w:val="22"/>
        </w:rPr>
        <w:t xml:space="preserve">Foram desvinculadas do Acordo de Acionistas </w:t>
      </w:r>
      <w:r w:rsidR="00350371" w:rsidRPr="007564CF">
        <w:rPr>
          <w:rFonts w:ascii="Arial" w:eastAsia="Times New Roman" w:hAnsi="Arial" w:cs="Arial"/>
          <w:sz w:val="22"/>
        </w:rPr>
        <w:t>30.000.000</w:t>
      </w:r>
      <w:r w:rsidRPr="007564CF">
        <w:rPr>
          <w:rFonts w:ascii="Arial" w:eastAsia="Times New Roman" w:hAnsi="Arial" w:cs="Arial"/>
          <w:sz w:val="22"/>
        </w:rPr>
        <w:t xml:space="preserve"> ações ordinárias de emissão da Companhia, de propriedade dos acionistas signatários de suas respectivas participações no capital social da Companhia, do total de </w:t>
      </w:r>
      <w:r w:rsidR="00350371" w:rsidRPr="007564CF">
        <w:rPr>
          <w:rFonts w:ascii="Arial" w:eastAsia="Times New Roman" w:hAnsi="Arial" w:cs="Arial"/>
          <w:sz w:val="22"/>
        </w:rPr>
        <w:t>500.000.000</w:t>
      </w:r>
      <w:r w:rsidRPr="007564CF">
        <w:rPr>
          <w:rFonts w:ascii="Arial" w:eastAsia="Times New Roman" w:hAnsi="Arial" w:cs="Arial"/>
          <w:sz w:val="22"/>
        </w:rPr>
        <w:t xml:space="preserve"> ações ordinárias vinculadas, permanecendo, portanto, vinculadas ao Acordo de Acionistas </w:t>
      </w:r>
      <w:r w:rsidR="00350371" w:rsidRPr="007564CF">
        <w:rPr>
          <w:rFonts w:ascii="Arial" w:eastAsia="Times New Roman" w:hAnsi="Arial" w:cs="Arial"/>
          <w:sz w:val="22"/>
        </w:rPr>
        <w:t>470.000.000</w:t>
      </w:r>
      <w:r w:rsidRPr="007564CF">
        <w:rPr>
          <w:rFonts w:ascii="Arial" w:eastAsia="Times New Roman" w:hAnsi="Arial" w:cs="Arial"/>
          <w:sz w:val="22"/>
        </w:rPr>
        <w:t xml:space="preserve"> ações ordinárias de emissão da Companhia, representativas de </w:t>
      </w:r>
      <w:r w:rsidR="00350371" w:rsidRPr="007564CF">
        <w:rPr>
          <w:rFonts w:ascii="Arial" w:eastAsia="Times New Roman" w:hAnsi="Arial" w:cs="Arial"/>
          <w:sz w:val="22"/>
        </w:rPr>
        <w:t>52,10%</w:t>
      </w:r>
      <w:r w:rsidRPr="007564CF">
        <w:rPr>
          <w:rFonts w:ascii="Arial" w:eastAsia="Times New Roman" w:hAnsi="Arial" w:cs="Arial"/>
          <w:sz w:val="22"/>
        </w:rPr>
        <w:t xml:space="preserve"> do capital social da Companhia.</w:t>
      </w:r>
    </w:p>
    <w:bookmarkEnd w:id="0"/>
    <w:p w14:paraId="32381FC3" w14:textId="4F00C1FB" w:rsidR="00D57034" w:rsidRPr="007564CF" w:rsidRDefault="00D57034" w:rsidP="002C5F33">
      <w:pPr>
        <w:spacing w:line="276" w:lineRule="auto"/>
        <w:jc w:val="both"/>
        <w:rPr>
          <w:rFonts w:ascii="Arial" w:hAnsi="Arial" w:cs="Arial"/>
          <w:sz w:val="22"/>
        </w:rPr>
      </w:pPr>
    </w:p>
    <w:p w14:paraId="2E273862" w14:textId="77777777" w:rsidR="00D57034" w:rsidRPr="007564CF" w:rsidRDefault="00D57034" w:rsidP="00D57034">
      <w:pPr>
        <w:spacing w:line="276" w:lineRule="auto"/>
        <w:jc w:val="both"/>
        <w:rPr>
          <w:rFonts w:ascii="Arial" w:hAnsi="Arial" w:cs="Arial"/>
          <w:sz w:val="22"/>
        </w:rPr>
      </w:pPr>
      <w:bookmarkStart w:id="2" w:name="_Hlk528686941"/>
      <w:r w:rsidRPr="007564CF">
        <w:rPr>
          <w:rFonts w:ascii="Arial" w:hAnsi="Arial" w:cs="Arial"/>
          <w:sz w:val="22"/>
        </w:rPr>
        <w:t>A distribuição de ações livres e ações vinculadas ao Acordo de Acionistas da Companhia, refletindo as transferências acima mencionadas, encontra-se no quadro abaixo, mantendo-se inalterado o grupo controlador no capital social da Companhia.</w:t>
      </w:r>
    </w:p>
    <w:p w14:paraId="31AAD873" w14:textId="533FC371" w:rsidR="00D57034" w:rsidRPr="007564CF" w:rsidRDefault="00D57034" w:rsidP="00D57034">
      <w:pPr>
        <w:spacing w:line="276" w:lineRule="auto"/>
        <w:jc w:val="both"/>
        <w:rPr>
          <w:rFonts w:ascii="Arial" w:hAnsi="Arial" w:cs="Arial"/>
          <w:sz w:val="22"/>
        </w:rPr>
      </w:pPr>
    </w:p>
    <w:tbl>
      <w:tblPr>
        <w:tblW w:w="4000" w:type="pct"/>
        <w:jc w:val="center"/>
        <w:tblLayout w:type="fixed"/>
        <w:tblCellMar>
          <w:left w:w="70" w:type="dxa"/>
          <w:right w:w="70" w:type="dxa"/>
        </w:tblCellMar>
        <w:tblLook w:val="04A0" w:firstRow="1" w:lastRow="0" w:firstColumn="1" w:lastColumn="0" w:noHBand="0" w:noVBand="1"/>
      </w:tblPr>
      <w:tblGrid>
        <w:gridCol w:w="1944"/>
        <w:gridCol w:w="1589"/>
        <w:gridCol w:w="1673"/>
        <w:gridCol w:w="1589"/>
      </w:tblGrid>
      <w:tr w:rsidR="00C55A99" w:rsidRPr="007564CF" w14:paraId="465B7428" w14:textId="77777777" w:rsidTr="002C5F33">
        <w:trPr>
          <w:trHeight w:val="570"/>
          <w:jc w:val="center"/>
        </w:trPr>
        <w:tc>
          <w:tcPr>
            <w:tcW w:w="1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D604" w14:textId="77777777" w:rsidR="00C55A99" w:rsidRPr="007564CF" w:rsidRDefault="00C55A99" w:rsidP="00350371">
            <w:pPr>
              <w:spacing w:line="240" w:lineRule="auto"/>
              <w:jc w:val="center"/>
              <w:rPr>
                <w:rFonts w:ascii="Arial" w:eastAsia="Times New Roman" w:hAnsi="Arial" w:cs="Arial"/>
                <w:b/>
                <w:bCs/>
                <w:color w:val="000000"/>
                <w:sz w:val="20"/>
                <w:szCs w:val="20"/>
                <w:lang w:eastAsia="pt-BR"/>
              </w:rPr>
            </w:pPr>
            <w:proofErr w:type="spellStart"/>
            <w:r w:rsidRPr="007564CF">
              <w:rPr>
                <w:rFonts w:ascii="Arial" w:eastAsia="Times New Roman" w:hAnsi="Arial" w:cs="Arial"/>
                <w:b/>
                <w:bCs/>
                <w:color w:val="000000"/>
                <w:sz w:val="20"/>
                <w:szCs w:val="20"/>
                <w:lang w:val="en-US" w:eastAsia="pt-BR"/>
              </w:rPr>
              <w:t>Acionista</w:t>
            </w:r>
            <w:proofErr w:type="spellEnd"/>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14:paraId="148F94FF" w14:textId="0862F633" w:rsidR="00C55A99" w:rsidRPr="007564CF" w:rsidRDefault="00C55A99" w:rsidP="00350371">
            <w:pPr>
              <w:spacing w:line="240" w:lineRule="auto"/>
              <w:jc w:val="center"/>
              <w:rPr>
                <w:rFonts w:ascii="Arial" w:eastAsia="Times New Roman" w:hAnsi="Arial" w:cs="Arial"/>
                <w:b/>
                <w:bCs/>
                <w:color w:val="000000"/>
                <w:sz w:val="20"/>
                <w:szCs w:val="20"/>
                <w:lang w:val="en-US" w:eastAsia="pt-BR"/>
              </w:rPr>
            </w:pPr>
            <w:proofErr w:type="spellStart"/>
            <w:r w:rsidRPr="007564CF">
              <w:rPr>
                <w:rFonts w:ascii="Arial" w:eastAsia="Times New Roman" w:hAnsi="Arial" w:cs="Arial"/>
                <w:b/>
                <w:bCs/>
                <w:color w:val="000000"/>
                <w:sz w:val="20"/>
                <w:szCs w:val="20"/>
                <w:lang w:val="en-US" w:eastAsia="pt-BR"/>
              </w:rPr>
              <w:t>Ações</w:t>
            </w:r>
            <w:proofErr w:type="spellEnd"/>
          </w:p>
          <w:p w14:paraId="60FA3184" w14:textId="043C337A" w:rsidR="00C55A99" w:rsidRPr="007564CF" w:rsidRDefault="00C55A99" w:rsidP="00350371">
            <w:pPr>
              <w:spacing w:line="240" w:lineRule="auto"/>
              <w:jc w:val="center"/>
              <w:rPr>
                <w:rFonts w:ascii="Arial" w:eastAsia="Times New Roman" w:hAnsi="Arial" w:cs="Arial"/>
                <w:b/>
                <w:bCs/>
                <w:color w:val="000000"/>
                <w:sz w:val="20"/>
                <w:szCs w:val="20"/>
                <w:lang w:eastAsia="pt-BR"/>
              </w:rPr>
            </w:pPr>
            <w:proofErr w:type="spellStart"/>
            <w:r w:rsidRPr="007564CF">
              <w:rPr>
                <w:rFonts w:ascii="Arial" w:eastAsia="Times New Roman" w:hAnsi="Arial" w:cs="Arial"/>
                <w:b/>
                <w:bCs/>
                <w:color w:val="000000"/>
                <w:sz w:val="20"/>
                <w:szCs w:val="20"/>
                <w:lang w:val="en-US" w:eastAsia="pt-BR"/>
              </w:rPr>
              <w:t>Vinculadas</w:t>
            </w:r>
            <w:proofErr w:type="spellEnd"/>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14:paraId="1F549141" w14:textId="578BC5F6" w:rsidR="00C55A99" w:rsidRPr="007564CF" w:rsidRDefault="00C55A99" w:rsidP="00350371">
            <w:pPr>
              <w:spacing w:line="240" w:lineRule="auto"/>
              <w:jc w:val="center"/>
              <w:rPr>
                <w:rFonts w:ascii="Arial" w:eastAsia="Times New Roman" w:hAnsi="Arial" w:cs="Arial"/>
                <w:b/>
                <w:bCs/>
                <w:color w:val="000000"/>
                <w:sz w:val="20"/>
                <w:szCs w:val="20"/>
                <w:lang w:val="en-US" w:eastAsia="pt-BR"/>
              </w:rPr>
            </w:pPr>
            <w:proofErr w:type="spellStart"/>
            <w:r w:rsidRPr="007564CF">
              <w:rPr>
                <w:rFonts w:ascii="Arial" w:eastAsia="Times New Roman" w:hAnsi="Arial" w:cs="Arial"/>
                <w:b/>
                <w:bCs/>
                <w:color w:val="000000"/>
                <w:sz w:val="20"/>
                <w:szCs w:val="20"/>
                <w:lang w:val="en-US" w:eastAsia="pt-BR"/>
              </w:rPr>
              <w:t>Ações</w:t>
            </w:r>
            <w:proofErr w:type="spellEnd"/>
          </w:p>
          <w:p w14:paraId="3971DD6F" w14:textId="6353C25F" w:rsidR="00C55A99" w:rsidRPr="007564CF" w:rsidRDefault="00C55A99" w:rsidP="00350371">
            <w:pPr>
              <w:spacing w:line="240" w:lineRule="auto"/>
              <w:jc w:val="center"/>
              <w:rPr>
                <w:rFonts w:ascii="Arial" w:eastAsia="Times New Roman" w:hAnsi="Arial" w:cs="Arial"/>
                <w:b/>
                <w:bCs/>
                <w:color w:val="000000"/>
                <w:sz w:val="20"/>
                <w:szCs w:val="20"/>
                <w:lang w:eastAsia="pt-BR"/>
              </w:rPr>
            </w:pPr>
            <w:r w:rsidRPr="007564CF">
              <w:rPr>
                <w:rFonts w:ascii="Arial" w:eastAsia="Times New Roman" w:hAnsi="Arial" w:cs="Arial"/>
                <w:b/>
                <w:bCs/>
                <w:color w:val="000000"/>
                <w:sz w:val="20"/>
                <w:szCs w:val="20"/>
                <w:lang w:val="en-US" w:eastAsia="pt-BR"/>
              </w:rPr>
              <w:t>Livres</w:t>
            </w:r>
          </w:p>
        </w:tc>
        <w:tc>
          <w:tcPr>
            <w:tcW w:w="1169" w:type="pct"/>
            <w:tcBorders>
              <w:top w:val="single" w:sz="4" w:space="0" w:color="auto"/>
              <w:left w:val="nil"/>
              <w:bottom w:val="single" w:sz="4" w:space="0" w:color="auto"/>
              <w:right w:val="single" w:sz="4" w:space="0" w:color="auto"/>
            </w:tcBorders>
            <w:shd w:val="clear" w:color="auto" w:fill="auto"/>
            <w:noWrap/>
            <w:vAlign w:val="center"/>
            <w:hideMark/>
          </w:tcPr>
          <w:p w14:paraId="7E3F4C39" w14:textId="28365A7E" w:rsidR="00C55A99" w:rsidRPr="007564CF" w:rsidRDefault="00C55A99" w:rsidP="00350371">
            <w:pPr>
              <w:spacing w:line="240" w:lineRule="auto"/>
              <w:jc w:val="center"/>
              <w:rPr>
                <w:rFonts w:ascii="Arial" w:eastAsia="Times New Roman" w:hAnsi="Arial" w:cs="Arial"/>
                <w:b/>
                <w:bCs/>
                <w:color w:val="000000"/>
                <w:sz w:val="20"/>
                <w:szCs w:val="20"/>
                <w:lang w:val="en-US" w:eastAsia="pt-BR"/>
              </w:rPr>
            </w:pPr>
            <w:r w:rsidRPr="007564CF">
              <w:rPr>
                <w:rFonts w:ascii="Arial" w:eastAsia="Times New Roman" w:hAnsi="Arial" w:cs="Arial"/>
                <w:b/>
                <w:bCs/>
                <w:color w:val="000000"/>
                <w:sz w:val="20"/>
                <w:szCs w:val="20"/>
                <w:lang w:val="en-US" w:eastAsia="pt-BR"/>
              </w:rPr>
              <w:t>Total de</w:t>
            </w:r>
          </w:p>
          <w:p w14:paraId="6048BAAC" w14:textId="0A551CD2" w:rsidR="00C55A99" w:rsidRPr="007564CF" w:rsidRDefault="00C55A99" w:rsidP="00350371">
            <w:pPr>
              <w:spacing w:line="240" w:lineRule="auto"/>
              <w:jc w:val="center"/>
              <w:rPr>
                <w:rFonts w:ascii="Arial" w:eastAsia="Times New Roman" w:hAnsi="Arial" w:cs="Arial"/>
                <w:b/>
                <w:bCs/>
                <w:color w:val="000000"/>
                <w:sz w:val="20"/>
                <w:szCs w:val="20"/>
                <w:lang w:eastAsia="pt-BR"/>
              </w:rPr>
            </w:pPr>
            <w:proofErr w:type="spellStart"/>
            <w:r w:rsidRPr="007564CF">
              <w:rPr>
                <w:rFonts w:ascii="Arial" w:eastAsia="Times New Roman" w:hAnsi="Arial" w:cs="Arial"/>
                <w:b/>
                <w:bCs/>
                <w:color w:val="000000"/>
                <w:sz w:val="20"/>
                <w:szCs w:val="20"/>
                <w:lang w:val="en-US" w:eastAsia="pt-BR"/>
              </w:rPr>
              <w:t>Ações</w:t>
            </w:r>
            <w:proofErr w:type="spellEnd"/>
          </w:p>
        </w:tc>
      </w:tr>
      <w:tr w:rsidR="00C55A99" w:rsidRPr="007564CF" w14:paraId="7CD1B7B3"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3D840909" w14:textId="77777777" w:rsidR="00C55A99" w:rsidRPr="007564CF" w:rsidRDefault="00C55A99" w:rsidP="003B1B62">
            <w:pPr>
              <w:spacing w:line="240" w:lineRule="auto"/>
              <w:jc w:val="both"/>
              <w:rPr>
                <w:rFonts w:ascii="Arial" w:eastAsia="Times New Roman" w:hAnsi="Arial" w:cs="Arial"/>
                <w:color w:val="000000"/>
                <w:sz w:val="20"/>
                <w:szCs w:val="20"/>
                <w:lang w:eastAsia="pt-BR"/>
              </w:rPr>
            </w:pPr>
            <w:r w:rsidRPr="007564CF">
              <w:rPr>
                <w:rFonts w:ascii="Arial" w:eastAsia="Times New Roman" w:hAnsi="Arial" w:cs="Arial"/>
                <w:color w:val="000000"/>
                <w:sz w:val="20"/>
                <w:szCs w:val="20"/>
                <w:lang w:eastAsia="pt-BR"/>
              </w:rPr>
              <w:t>Alexandre</w:t>
            </w:r>
          </w:p>
        </w:tc>
        <w:tc>
          <w:tcPr>
            <w:tcW w:w="1169" w:type="pct"/>
            <w:tcBorders>
              <w:top w:val="nil"/>
              <w:left w:val="nil"/>
              <w:bottom w:val="single" w:sz="4" w:space="0" w:color="auto"/>
              <w:right w:val="single" w:sz="4" w:space="0" w:color="auto"/>
            </w:tcBorders>
            <w:shd w:val="clear" w:color="auto" w:fill="auto"/>
            <w:noWrap/>
            <w:vAlign w:val="center"/>
            <w:hideMark/>
          </w:tcPr>
          <w:p w14:paraId="0D5B6455" w14:textId="09934A33" w:rsidR="00C55A99" w:rsidRPr="007564CF" w:rsidRDefault="00C55A99" w:rsidP="003B1B62">
            <w:pPr>
              <w:spacing w:line="240" w:lineRule="auto"/>
              <w:ind w:right="128"/>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278.250.000</w:t>
            </w:r>
          </w:p>
        </w:tc>
        <w:tc>
          <w:tcPr>
            <w:tcW w:w="1231" w:type="pct"/>
            <w:tcBorders>
              <w:top w:val="nil"/>
              <w:left w:val="nil"/>
              <w:bottom w:val="single" w:sz="4" w:space="0" w:color="auto"/>
              <w:right w:val="single" w:sz="4" w:space="0" w:color="auto"/>
            </w:tcBorders>
            <w:shd w:val="clear" w:color="auto" w:fill="auto"/>
            <w:noWrap/>
            <w:vAlign w:val="center"/>
            <w:hideMark/>
          </w:tcPr>
          <w:p w14:paraId="4A9953B9" w14:textId="1AB1748E" w:rsidR="00C55A99" w:rsidRPr="007564CF" w:rsidRDefault="00C55A99" w:rsidP="003B1B62">
            <w:pPr>
              <w:spacing w:line="240" w:lineRule="auto"/>
              <w:ind w:right="156"/>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93.401.807</w:t>
            </w:r>
          </w:p>
        </w:tc>
        <w:tc>
          <w:tcPr>
            <w:tcW w:w="1169" w:type="pct"/>
            <w:tcBorders>
              <w:top w:val="nil"/>
              <w:left w:val="nil"/>
              <w:bottom w:val="single" w:sz="4" w:space="0" w:color="auto"/>
              <w:right w:val="single" w:sz="4" w:space="0" w:color="auto"/>
            </w:tcBorders>
            <w:shd w:val="clear" w:color="auto" w:fill="auto"/>
            <w:noWrap/>
            <w:vAlign w:val="center"/>
            <w:hideMark/>
          </w:tcPr>
          <w:p w14:paraId="772DBE9D" w14:textId="0695CF7F" w:rsidR="00C55A99" w:rsidRPr="007564CF" w:rsidRDefault="00C55A99" w:rsidP="003B1B62">
            <w:pPr>
              <w:spacing w:line="240" w:lineRule="auto"/>
              <w:ind w:right="90"/>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371.651.807</w:t>
            </w:r>
          </w:p>
        </w:tc>
      </w:tr>
      <w:tr w:rsidR="00C55A99" w:rsidRPr="007564CF" w14:paraId="20A93846"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14813A14" w14:textId="77777777" w:rsidR="00C55A99" w:rsidRPr="007564CF" w:rsidRDefault="00C55A99" w:rsidP="003B1B62">
            <w:pPr>
              <w:spacing w:line="240" w:lineRule="auto"/>
              <w:jc w:val="both"/>
              <w:rPr>
                <w:rFonts w:ascii="Arial" w:eastAsia="Times New Roman" w:hAnsi="Arial" w:cs="Arial"/>
                <w:color w:val="000000"/>
                <w:sz w:val="20"/>
                <w:szCs w:val="20"/>
                <w:lang w:eastAsia="pt-BR"/>
              </w:rPr>
            </w:pPr>
            <w:r w:rsidRPr="007564CF">
              <w:rPr>
                <w:rFonts w:ascii="Arial" w:eastAsia="Times New Roman" w:hAnsi="Arial" w:cs="Arial"/>
                <w:color w:val="000000"/>
                <w:sz w:val="20"/>
                <w:szCs w:val="20"/>
                <w:lang w:eastAsia="pt-BR"/>
              </w:rPr>
              <w:t>Pedro</w:t>
            </w:r>
          </w:p>
        </w:tc>
        <w:tc>
          <w:tcPr>
            <w:tcW w:w="1169" w:type="pct"/>
            <w:tcBorders>
              <w:top w:val="nil"/>
              <w:left w:val="nil"/>
              <w:bottom w:val="single" w:sz="4" w:space="0" w:color="auto"/>
              <w:right w:val="single" w:sz="4" w:space="0" w:color="auto"/>
            </w:tcBorders>
            <w:shd w:val="clear" w:color="auto" w:fill="auto"/>
            <w:noWrap/>
            <w:vAlign w:val="center"/>
            <w:hideMark/>
          </w:tcPr>
          <w:p w14:paraId="3C9DC20B" w14:textId="3C99ADDD" w:rsidR="00C55A99" w:rsidRPr="007564CF" w:rsidRDefault="00C55A99" w:rsidP="003B1B62">
            <w:pPr>
              <w:spacing w:line="240" w:lineRule="auto"/>
              <w:ind w:right="128"/>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93.820.000</w:t>
            </w:r>
          </w:p>
        </w:tc>
        <w:tc>
          <w:tcPr>
            <w:tcW w:w="1231" w:type="pct"/>
            <w:tcBorders>
              <w:top w:val="nil"/>
              <w:left w:val="nil"/>
              <w:bottom w:val="single" w:sz="4" w:space="0" w:color="auto"/>
              <w:right w:val="single" w:sz="4" w:space="0" w:color="auto"/>
            </w:tcBorders>
            <w:shd w:val="clear" w:color="auto" w:fill="auto"/>
            <w:noWrap/>
            <w:vAlign w:val="center"/>
            <w:hideMark/>
          </w:tcPr>
          <w:p w14:paraId="65CF67FD" w14:textId="6FA8F3EA" w:rsidR="00C55A99" w:rsidRPr="007564CF" w:rsidRDefault="00C55A99" w:rsidP="003B1B62">
            <w:pPr>
              <w:spacing w:line="240" w:lineRule="auto"/>
              <w:ind w:right="156"/>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31.492.376</w:t>
            </w:r>
          </w:p>
        </w:tc>
        <w:tc>
          <w:tcPr>
            <w:tcW w:w="1169" w:type="pct"/>
            <w:tcBorders>
              <w:top w:val="nil"/>
              <w:left w:val="nil"/>
              <w:bottom w:val="single" w:sz="4" w:space="0" w:color="auto"/>
              <w:right w:val="single" w:sz="4" w:space="0" w:color="auto"/>
            </w:tcBorders>
            <w:shd w:val="clear" w:color="auto" w:fill="auto"/>
            <w:noWrap/>
            <w:vAlign w:val="center"/>
            <w:hideMark/>
          </w:tcPr>
          <w:p w14:paraId="60D53C03" w14:textId="51080DFC" w:rsidR="00C55A99" w:rsidRPr="007564CF" w:rsidRDefault="00C55A99" w:rsidP="003B1B62">
            <w:pPr>
              <w:spacing w:line="240" w:lineRule="auto"/>
              <w:ind w:right="90"/>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125.312.376</w:t>
            </w:r>
          </w:p>
        </w:tc>
      </w:tr>
      <w:tr w:rsidR="00C55A99" w:rsidRPr="007564CF" w14:paraId="20CC812E"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16E09964" w14:textId="77777777" w:rsidR="00C55A99" w:rsidRPr="007564CF" w:rsidRDefault="00C55A99" w:rsidP="003B1B62">
            <w:pPr>
              <w:spacing w:line="240" w:lineRule="auto"/>
              <w:jc w:val="both"/>
              <w:rPr>
                <w:rFonts w:ascii="Arial" w:eastAsia="Times New Roman" w:hAnsi="Arial" w:cs="Arial"/>
                <w:color w:val="000000"/>
                <w:sz w:val="20"/>
                <w:szCs w:val="20"/>
                <w:lang w:eastAsia="pt-BR"/>
              </w:rPr>
            </w:pPr>
            <w:r w:rsidRPr="007564CF">
              <w:rPr>
                <w:rFonts w:ascii="Arial" w:eastAsia="Times New Roman" w:hAnsi="Arial" w:cs="Arial"/>
                <w:color w:val="000000"/>
                <w:sz w:val="20"/>
                <w:szCs w:val="20"/>
                <w:lang w:eastAsia="pt-BR"/>
              </w:rPr>
              <w:t>Pedro Filho</w:t>
            </w:r>
          </w:p>
        </w:tc>
        <w:tc>
          <w:tcPr>
            <w:tcW w:w="1169" w:type="pct"/>
            <w:tcBorders>
              <w:top w:val="nil"/>
              <w:left w:val="nil"/>
              <w:bottom w:val="single" w:sz="4" w:space="0" w:color="auto"/>
              <w:right w:val="single" w:sz="4" w:space="0" w:color="auto"/>
            </w:tcBorders>
            <w:shd w:val="clear" w:color="auto" w:fill="auto"/>
            <w:noWrap/>
            <w:vAlign w:val="center"/>
            <w:hideMark/>
          </w:tcPr>
          <w:p w14:paraId="41696180" w14:textId="48A59BCF" w:rsidR="00C55A99" w:rsidRPr="007564CF" w:rsidRDefault="00C55A99" w:rsidP="003B1B62">
            <w:pPr>
              <w:spacing w:line="240" w:lineRule="auto"/>
              <w:ind w:right="128"/>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26.620.000</w:t>
            </w:r>
          </w:p>
        </w:tc>
        <w:tc>
          <w:tcPr>
            <w:tcW w:w="1231" w:type="pct"/>
            <w:tcBorders>
              <w:top w:val="nil"/>
              <w:left w:val="nil"/>
              <w:bottom w:val="single" w:sz="4" w:space="0" w:color="auto"/>
              <w:right w:val="single" w:sz="4" w:space="0" w:color="auto"/>
            </w:tcBorders>
            <w:shd w:val="clear" w:color="auto" w:fill="auto"/>
            <w:noWrap/>
            <w:vAlign w:val="center"/>
            <w:hideMark/>
          </w:tcPr>
          <w:p w14:paraId="405214BE" w14:textId="3806C886" w:rsidR="00C55A99" w:rsidRPr="007564CF" w:rsidRDefault="00C55A99" w:rsidP="003B1B62">
            <w:pPr>
              <w:spacing w:line="240" w:lineRule="auto"/>
              <w:ind w:right="156"/>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8.937.397</w:t>
            </w:r>
          </w:p>
        </w:tc>
        <w:tc>
          <w:tcPr>
            <w:tcW w:w="1169" w:type="pct"/>
            <w:tcBorders>
              <w:top w:val="nil"/>
              <w:left w:val="nil"/>
              <w:bottom w:val="single" w:sz="4" w:space="0" w:color="auto"/>
              <w:right w:val="single" w:sz="4" w:space="0" w:color="auto"/>
            </w:tcBorders>
            <w:shd w:val="clear" w:color="auto" w:fill="auto"/>
            <w:noWrap/>
            <w:vAlign w:val="center"/>
            <w:hideMark/>
          </w:tcPr>
          <w:p w14:paraId="27F2814A" w14:textId="10FBB744" w:rsidR="00C55A99" w:rsidRPr="007564CF" w:rsidRDefault="00C55A99" w:rsidP="003B1B62">
            <w:pPr>
              <w:spacing w:line="240" w:lineRule="auto"/>
              <w:ind w:right="90"/>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35.557.397</w:t>
            </w:r>
          </w:p>
        </w:tc>
      </w:tr>
      <w:tr w:rsidR="00C55A99" w:rsidRPr="007564CF" w14:paraId="6F85C1C0"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608497F4" w14:textId="77777777" w:rsidR="00C55A99" w:rsidRPr="007564CF" w:rsidRDefault="00C55A99" w:rsidP="003B1B62">
            <w:pPr>
              <w:spacing w:line="240" w:lineRule="auto"/>
              <w:jc w:val="both"/>
              <w:rPr>
                <w:rFonts w:ascii="Arial" w:eastAsia="Times New Roman" w:hAnsi="Arial" w:cs="Arial"/>
                <w:color w:val="000000"/>
                <w:sz w:val="20"/>
                <w:szCs w:val="20"/>
                <w:lang w:eastAsia="pt-BR"/>
              </w:rPr>
            </w:pPr>
            <w:r w:rsidRPr="007564CF">
              <w:rPr>
                <w:rFonts w:ascii="Arial" w:eastAsia="Times New Roman" w:hAnsi="Arial" w:cs="Arial"/>
                <w:color w:val="000000"/>
                <w:sz w:val="20"/>
                <w:szCs w:val="20"/>
                <w:lang w:eastAsia="pt-BR"/>
              </w:rPr>
              <w:t>Giovana</w:t>
            </w:r>
          </w:p>
        </w:tc>
        <w:tc>
          <w:tcPr>
            <w:tcW w:w="1169" w:type="pct"/>
            <w:tcBorders>
              <w:top w:val="nil"/>
              <w:left w:val="nil"/>
              <w:bottom w:val="single" w:sz="4" w:space="0" w:color="auto"/>
              <w:right w:val="single" w:sz="4" w:space="0" w:color="auto"/>
            </w:tcBorders>
            <w:shd w:val="clear" w:color="auto" w:fill="auto"/>
            <w:noWrap/>
            <w:vAlign w:val="center"/>
            <w:hideMark/>
          </w:tcPr>
          <w:p w14:paraId="59C6481A" w14:textId="2BF031AD" w:rsidR="00C55A99" w:rsidRPr="007564CF" w:rsidRDefault="00C55A99" w:rsidP="003B1B62">
            <w:pPr>
              <w:spacing w:line="240" w:lineRule="auto"/>
              <w:ind w:right="128"/>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27.800.000</w:t>
            </w:r>
          </w:p>
        </w:tc>
        <w:tc>
          <w:tcPr>
            <w:tcW w:w="1231" w:type="pct"/>
            <w:tcBorders>
              <w:top w:val="nil"/>
              <w:left w:val="nil"/>
              <w:bottom w:val="single" w:sz="4" w:space="0" w:color="auto"/>
              <w:right w:val="single" w:sz="4" w:space="0" w:color="auto"/>
            </w:tcBorders>
            <w:shd w:val="clear" w:color="auto" w:fill="auto"/>
            <w:noWrap/>
            <w:vAlign w:val="center"/>
            <w:hideMark/>
          </w:tcPr>
          <w:p w14:paraId="053263A0" w14:textId="44ADAE2F" w:rsidR="00C55A99" w:rsidRPr="007564CF" w:rsidRDefault="00C55A99" w:rsidP="003B1B62">
            <w:pPr>
              <w:spacing w:line="240" w:lineRule="auto"/>
              <w:ind w:right="156"/>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9.332.797</w:t>
            </w:r>
          </w:p>
        </w:tc>
        <w:tc>
          <w:tcPr>
            <w:tcW w:w="1169" w:type="pct"/>
            <w:tcBorders>
              <w:top w:val="nil"/>
              <w:left w:val="nil"/>
              <w:bottom w:val="single" w:sz="4" w:space="0" w:color="auto"/>
              <w:right w:val="single" w:sz="4" w:space="0" w:color="auto"/>
            </w:tcBorders>
            <w:shd w:val="clear" w:color="auto" w:fill="auto"/>
            <w:noWrap/>
            <w:vAlign w:val="center"/>
            <w:hideMark/>
          </w:tcPr>
          <w:p w14:paraId="7924A619" w14:textId="5ECA4105" w:rsidR="00C55A99" w:rsidRPr="007564CF" w:rsidRDefault="00C55A99" w:rsidP="003B1B62">
            <w:pPr>
              <w:spacing w:line="240" w:lineRule="auto"/>
              <w:ind w:right="90"/>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37.132.797</w:t>
            </w:r>
          </w:p>
        </w:tc>
      </w:tr>
      <w:tr w:rsidR="00C55A99" w:rsidRPr="007564CF" w14:paraId="64E124AF"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7966C667" w14:textId="77777777" w:rsidR="00C55A99" w:rsidRPr="007564CF" w:rsidRDefault="00C55A99" w:rsidP="003B1B62">
            <w:pPr>
              <w:spacing w:line="240" w:lineRule="auto"/>
              <w:jc w:val="both"/>
              <w:rPr>
                <w:rFonts w:ascii="Arial" w:eastAsia="Times New Roman" w:hAnsi="Arial" w:cs="Arial"/>
                <w:color w:val="000000"/>
                <w:sz w:val="20"/>
                <w:szCs w:val="20"/>
                <w:lang w:eastAsia="pt-BR"/>
              </w:rPr>
            </w:pPr>
            <w:r w:rsidRPr="007564CF">
              <w:rPr>
                <w:rFonts w:ascii="Arial" w:eastAsia="Times New Roman" w:hAnsi="Arial" w:cs="Arial"/>
                <w:color w:val="000000"/>
                <w:sz w:val="20"/>
                <w:szCs w:val="20"/>
                <w:lang w:eastAsia="pt-BR"/>
              </w:rPr>
              <w:t>André</w:t>
            </w:r>
          </w:p>
        </w:tc>
        <w:tc>
          <w:tcPr>
            <w:tcW w:w="1169" w:type="pct"/>
            <w:tcBorders>
              <w:top w:val="nil"/>
              <w:left w:val="nil"/>
              <w:bottom w:val="single" w:sz="4" w:space="0" w:color="auto"/>
              <w:right w:val="single" w:sz="4" w:space="0" w:color="auto"/>
            </w:tcBorders>
            <w:shd w:val="clear" w:color="auto" w:fill="auto"/>
            <w:noWrap/>
            <w:vAlign w:val="center"/>
            <w:hideMark/>
          </w:tcPr>
          <w:p w14:paraId="76D64DBC" w14:textId="40FC716B" w:rsidR="00C55A99" w:rsidRPr="007564CF" w:rsidRDefault="00C55A99" w:rsidP="003B1B62">
            <w:pPr>
              <w:spacing w:line="240" w:lineRule="auto"/>
              <w:ind w:right="128"/>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21.860.000</w:t>
            </w:r>
          </w:p>
        </w:tc>
        <w:tc>
          <w:tcPr>
            <w:tcW w:w="1231" w:type="pct"/>
            <w:tcBorders>
              <w:top w:val="nil"/>
              <w:left w:val="nil"/>
              <w:bottom w:val="single" w:sz="4" w:space="0" w:color="auto"/>
              <w:right w:val="single" w:sz="4" w:space="0" w:color="auto"/>
            </w:tcBorders>
            <w:shd w:val="clear" w:color="auto" w:fill="auto"/>
            <w:noWrap/>
            <w:vAlign w:val="center"/>
            <w:hideMark/>
          </w:tcPr>
          <w:p w14:paraId="0996A0D8" w14:textId="7835D145" w:rsidR="00C55A99" w:rsidRPr="007564CF" w:rsidRDefault="00C55A99" w:rsidP="003B1B62">
            <w:pPr>
              <w:spacing w:line="240" w:lineRule="auto"/>
              <w:ind w:right="156"/>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7.341.277</w:t>
            </w:r>
          </w:p>
        </w:tc>
        <w:tc>
          <w:tcPr>
            <w:tcW w:w="1169" w:type="pct"/>
            <w:tcBorders>
              <w:top w:val="nil"/>
              <w:left w:val="nil"/>
              <w:bottom w:val="single" w:sz="4" w:space="0" w:color="auto"/>
              <w:right w:val="single" w:sz="4" w:space="0" w:color="auto"/>
            </w:tcBorders>
            <w:shd w:val="clear" w:color="auto" w:fill="auto"/>
            <w:noWrap/>
            <w:vAlign w:val="center"/>
            <w:hideMark/>
          </w:tcPr>
          <w:p w14:paraId="72A5267A" w14:textId="7258276F" w:rsidR="00C55A99" w:rsidRPr="007564CF" w:rsidRDefault="00C55A99" w:rsidP="003B1B62">
            <w:pPr>
              <w:spacing w:line="240" w:lineRule="auto"/>
              <w:ind w:right="90"/>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29.201.277</w:t>
            </w:r>
          </w:p>
        </w:tc>
      </w:tr>
      <w:tr w:rsidR="00C55A99" w:rsidRPr="007564CF" w14:paraId="064E49EB"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2C49362D" w14:textId="77777777" w:rsidR="00C55A99" w:rsidRPr="007564CF" w:rsidRDefault="00C55A99" w:rsidP="003B1B62">
            <w:pPr>
              <w:spacing w:line="240" w:lineRule="auto"/>
              <w:jc w:val="both"/>
              <w:rPr>
                <w:rFonts w:ascii="Arial" w:eastAsia="Times New Roman" w:hAnsi="Arial" w:cs="Arial"/>
                <w:color w:val="000000"/>
                <w:sz w:val="20"/>
                <w:szCs w:val="20"/>
                <w:lang w:eastAsia="pt-BR"/>
              </w:rPr>
            </w:pPr>
            <w:r w:rsidRPr="007564CF">
              <w:rPr>
                <w:rFonts w:ascii="Arial" w:eastAsia="Times New Roman" w:hAnsi="Arial" w:cs="Arial"/>
                <w:color w:val="000000"/>
                <w:sz w:val="20"/>
                <w:szCs w:val="20"/>
                <w:lang w:eastAsia="pt-BR"/>
              </w:rPr>
              <w:t>Gabriella</w:t>
            </w:r>
          </w:p>
        </w:tc>
        <w:tc>
          <w:tcPr>
            <w:tcW w:w="1169" w:type="pct"/>
            <w:tcBorders>
              <w:top w:val="nil"/>
              <w:left w:val="nil"/>
              <w:bottom w:val="single" w:sz="4" w:space="0" w:color="auto"/>
              <w:right w:val="single" w:sz="4" w:space="0" w:color="auto"/>
            </w:tcBorders>
            <w:shd w:val="clear" w:color="auto" w:fill="auto"/>
            <w:noWrap/>
            <w:vAlign w:val="center"/>
            <w:hideMark/>
          </w:tcPr>
          <w:p w14:paraId="0FB025B5" w14:textId="56685B2F" w:rsidR="00C55A99" w:rsidRPr="007564CF" w:rsidRDefault="00C55A99" w:rsidP="003B1B62">
            <w:pPr>
              <w:spacing w:line="240" w:lineRule="auto"/>
              <w:ind w:right="128"/>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21.650.000</w:t>
            </w:r>
          </w:p>
        </w:tc>
        <w:tc>
          <w:tcPr>
            <w:tcW w:w="1231" w:type="pct"/>
            <w:tcBorders>
              <w:top w:val="nil"/>
              <w:left w:val="nil"/>
              <w:bottom w:val="single" w:sz="4" w:space="0" w:color="auto"/>
              <w:right w:val="single" w:sz="4" w:space="0" w:color="auto"/>
            </w:tcBorders>
            <w:shd w:val="clear" w:color="auto" w:fill="auto"/>
            <w:noWrap/>
            <w:vAlign w:val="center"/>
            <w:hideMark/>
          </w:tcPr>
          <w:p w14:paraId="587D889D" w14:textId="61EE05BB" w:rsidR="00C55A99" w:rsidRPr="007564CF" w:rsidRDefault="00C55A99" w:rsidP="003B1B62">
            <w:pPr>
              <w:spacing w:line="240" w:lineRule="auto"/>
              <w:ind w:right="156"/>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7.262.677</w:t>
            </w:r>
          </w:p>
        </w:tc>
        <w:tc>
          <w:tcPr>
            <w:tcW w:w="1169" w:type="pct"/>
            <w:tcBorders>
              <w:top w:val="nil"/>
              <w:left w:val="nil"/>
              <w:bottom w:val="single" w:sz="4" w:space="0" w:color="auto"/>
              <w:right w:val="single" w:sz="4" w:space="0" w:color="auto"/>
            </w:tcBorders>
            <w:shd w:val="clear" w:color="auto" w:fill="auto"/>
            <w:noWrap/>
            <w:vAlign w:val="center"/>
            <w:hideMark/>
          </w:tcPr>
          <w:p w14:paraId="62EEDE01" w14:textId="658A8CC0" w:rsidR="00C55A99" w:rsidRPr="007564CF" w:rsidRDefault="00C55A99" w:rsidP="003B1B62">
            <w:pPr>
              <w:spacing w:line="240" w:lineRule="auto"/>
              <w:ind w:right="90"/>
              <w:jc w:val="right"/>
              <w:rPr>
                <w:rFonts w:ascii="Arial" w:eastAsia="Times New Roman" w:hAnsi="Arial" w:cs="Arial"/>
                <w:color w:val="000000"/>
                <w:sz w:val="20"/>
                <w:szCs w:val="20"/>
                <w:highlight w:val="yellow"/>
                <w:lang w:eastAsia="pt-BR"/>
              </w:rPr>
            </w:pPr>
            <w:r w:rsidRPr="007564CF">
              <w:rPr>
                <w:rFonts w:ascii="Arial" w:hAnsi="Arial" w:cs="Arial"/>
                <w:color w:val="000000"/>
                <w:sz w:val="20"/>
                <w:szCs w:val="20"/>
              </w:rPr>
              <w:t>28.912.677</w:t>
            </w:r>
          </w:p>
        </w:tc>
      </w:tr>
      <w:tr w:rsidR="00C55A99" w:rsidRPr="007564CF" w14:paraId="6ABA273C" w14:textId="77777777" w:rsidTr="002C5F33">
        <w:trPr>
          <w:trHeight w:val="330"/>
          <w:jc w:val="center"/>
        </w:trPr>
        <w:tc>
          <w:tcPr>
            <w:tcW w:w="1431" w:type="pct"/>
            <w:tcBorders>
              <w:top w:val="nil"/>
              <w:left w:val="single" w:sz="4" w:space="0" w:color="auto"/>
              <w:bottom w:val="single" w:sz="4" w:space="0" w:color="auto"/>
              <w:right w:val="single" w:sz="4" w:space="0" w:color="auto"/>
            </w:tcBorders>
            <w:shd w:val="clear" w:color="auto" w:fill="auto"/>
            <w:noWrap/>
            <w:vAlign w:val="center"/>
            <w:hideMark/>
          </w:tcPr>
          <w:p w14:paraId="04768129" w14:textId="77777777" w:rsidR="00C55A99" w:rsidRPr="007564CF" w:rsidRDefault="00C55A99" w:rsidP="003B1B62">
            <w:pPr>
              <w:spacing w:line="240" w:lineRule="auto"/>
              <w:jc w:val="center"/>
              <w:rPr>
                <w:rFonts w:ascii="Arial" w:eastAsia="Times New Roman" w:hAnsi="Arial" w:cs="Arial"/>
                <w:b/>
                <w:bCs/>
                <w:color w:val="000000"/>
                <w:sz w:val="20"/>
                <w:szCs w:val="20"/>
                <w:lang w:eastAsia="pt-BR"/>
              </w:rPr>
            </w:pPr>
            <w:r w:rsidRPr="007564CF">
              <w:rPr>
                <w:rFonts w:ascii="Arial" w:eastAsia="Times New Roman" w:hAnsi="Arial" w:cs="Arial"/>
                <w:b/>
                <w:bCs/>
                <w:color w:val="000000"/>
                <w:sz w:val="20"/>
                <w:szCs w:val="20"/>
                <w:lang w:val="en-US" w:eastAsia="pt-BR"/>
              </w:rPr>
              <w:t>TOTAL</w:t>
            </w:r>
          </w:p>
        </w:tc>
        <w:tc>
          <w:tcPr>
            <w:tcW w:w="1169" w:type="pct"/>
            <w:tcBorders>
              <w:top w:val="nil"/>
              <w:left w:val="nil"/>
              <w:bottom w:val="single" w:sz="4" w:space="0" w:color="auto"/>
              <w:right w:val="single" w:sz="4" w:space="0" w:color="auto"/>
            </w:tcBorders>
            <w:shd w:val="clear" w:color="auto" w:fill="auto"/>
            <w:noWrap/>
            <w:vAlign w:val="center"/>
            <w:hideMark/>
          </w:tcPr>
          <w:p w14:paraId="5145B720" w14:textId="47E1668C" w:rsidR="00C55A99" w:rsidRPr="007564CF" w:rsidRDefault="00C55A99" w:rsidP="003B1B62">
            <w:pPr>
              <w:spacing w:line="240" w:lineRule="auto"/>
              <w:ind w:right="128"/>
              <w:jc w:val="right"/>
              <w:rPr>
                <w:rFonts w:ascii="Arial" w:eastAsia="Times New Roman" w:hAnsi="Arial" w:cs="Arial"/>
                <w:b/>
                <w:bCs/>
                <w:color w:val="000000"/>
                <w:sz w:val="20"/>
                <w:szCs w:val="20"/>
                <w:highlight w:val="yellow"/>
                <w:lang w:eastAsia="pt-BR"/>
              </w:rPr>
            </w:pPr>
            <w:r w:rsidRPr="007564CF">
              <w:rPr>
                <w:rFonts w:ascii="Arial" w:hAnsi="Arial" w:cs="Arial"/>
                <w:b/>
                <w:bCs/>
                <w:color w:val="000000"/>
                <w:sz w:val="20"/>
                <w:szCs w:val="20"/>
              </w:rPr>
              <w:t>470.000.000</w:t>
            </w:r>
          </w:p>
        </w:tc>
        <w:tc>
          <w:tcPr>
            <w:tcW w:w="1231" w:type="pct"/>
            <w:tcBorders>
              <w:top w:val="nil"/>
              <w:left w:val="nil"/>
              <w:bottom w:val="single" w:sz="4" w:space="0" w:color="auto"/>
              <w:right w:val="single" w:sz="4" w:space="0" w:color="auto"/>
            </w:tcBorders>
            <w:shd w:val="clear" w:color="auto" w:fill="auto"/>
            <w:noWrap/>
            <w:vAlign w:val="center"/>
            <w:hideMark/>
          </w:tcPr>
          <w:p w14:paraId="61EA6947" w14:textId="6367162F" w:rsidR="00C55A99" w:rsidRPr="007564CF" w:rsidRDefault="00C55A99" w:rsidP="003B1B62">
            <w:pPr>
              <w:spacing w:line="240" w:lineRule="auto"/>
              <w:ind w:right="156"/>
              <w:jc w:val="right"/>
              <w:rPr>
                <w:rFonts w:ascii="Arial" w:eastAsia="Times New Roman" w:hAnsi="Arial" w:cs="Arial"/>
                <w:b/>
                <w:bCs/>
                <w:color w:val="000000"/>
                <w:sz w:val="20"/>
                <w:szCs w:val="20"/>
                <w:highlight w:val="yellow"/>
                <w:lang w:eastAsia="pt-BR"/>
              </w:rPr>
            </w:pPr>
            <w:r w:rsidRPr="007564CF">
              <w:rPr>
                <w:rFonts w:ascii="Arial" w:hAnsi="Arial" w:cs="Arial"/>
                <w:b/>
                <w:bCs/>
                <w:color w:val="000000"/>
                <w:sz w:val="20"/>
                <w:szCs w:val="20"/>
              </w:rPr>
              <w:t>157.768.331</w:t>
            </w:r>
          </w:p>
        </w:tc>
        <w:tc>
          <w:tcPr>
            <w:tcW w:w="1169" w:type="pct"/>
            <w:tcBorders>
              <w:top w:val="nil"/>
              <w:left w:val="nil"/>
              <w:bottom w:val="single" w:sz="4" w:space="0" w:color="auto"/>
              <w:right w:val="single" w:sz="4" w:space="0" w:color="auto"/>
            </w:tcBorders>
            <w:shd w:val="clear" w:color="auto" w:fill="auto"/>
            <w:noWrap/>
            <w:vAlign w:val="center"/>
            <w:hideMark/>
          </w:tcPr>
          <w:p w14:paraId="78D5C432" w14:textId="78054A71" w:rsidR="00C55A99" w:rsidRPr="007564CF" w:rsidRDefault="00C55A99" w:rsidP="003B1B62">
            <w:pPr>
              <w:spacing w:line="240" w:lineRule="auto"/>
              <w:ind w:right="90"/>
              <w:jc w:val="right"/>
              <w:rPr>
                <w:rFonts w:ascii="Arial" w:eastAsia="Times New Roman" w:hAnsi="Arial" w:cs="Arial"/>
                <w:b/>
                <w:bCs/>
                <w:color w:val="000000"/>
                <w:sz w:val="20"/>
                <w:szCs w:val="20"/>
                <w:highlight w:val="yellow"/>
                <w:lang w:eastAsia="pt-BR"/>
              </w:rPr>
            </w:pPr>
            <w:r w:rsidRPr="007564CF">
              <w:rPr>
                <w:rFonts w:ascii="Arial" w:hAnsi="Arial" w:cs="Arial"/>
                <w:b/>
                <w:bCs/>
                <w:color w:val="000000"/>
                <w:sz w:val="20"/>
                <w:szCs w:val="20"/>
              </w:rPr>
              <w:t>627.768.331</w:t>
            </w:r>
          </w:p>
        </w:tc>
      </w:tr>
    </w:tbl>
    <w:p w14:paraId="5039BA30" w14:textId="626D57B6" w:rsidR="00350371" w:rsidRPr="007564CF" w:rsidRDefault="00350371" w:rsidP="00D57034">
      <w:pPr>
        <w:spacing w:line="276" w:lineRule="auto"/>
        <w:jc w:val="both"/>
        <w:rPr>
          <w:rFonts w:ascii="Arial" w:hAnsi="Arial" w:cs="Arial"/>
          <w:sz w:val="22"/>
          <w:szCs w:val="20"/>
        </w:rPr>
      </w:pPr>
    </w:p>
    <w:bookmarkEnd w:id="1"/>
    <w:bookmarkEnd w:id="2"/>
    <w:p w14:paraId="60FB2317" w14:textId="4418EA30" w:rsidR="00D57034" w:rsidRPr="007564CF" w:rsidRDefault="00D57034" w:rsidP="00D57034">
      <w:pPr>
        <w:spacing w:line="276" w:lineRule="auto"/>
        <w:jc w:val="both"/>
        <w:rPr>
          <w:rFonts w:ascii="Arial" w:hAnsi="Arial" w:cs="Arial"/>
          <w:sz w:val="22"/>
          <w:szCs w:val="20"/>
        </w:rPr>
      </w:pPr>
      <w:r w:rsidRPr="007564CF">
        <w:rPr>
          <w:rFonts w:ascii="Arial" w:hAnsi="Arial" w:cs="Arial"/>
          <w:sz w:val="22"/>
          <w:szCs w:val="20"/>
        </w:rPr>
        <w:t xml:space="preserve">Conforme ainda informaram os referidos acionistas, </w:t>
      </w:r>
      <w:bookmarkStart w:id="3" w:name="_Hlk528686967"/>
      <w:r w:rsidRPr="007564CF">
        <w:rPr>
          <w:rFonts w:ascii="Arial" w:hAnsi="Arial" w:cs="Arial"/>
          <w:sz w:val="22"/>
          <w:szCs w:val="20"/>
        </w:rPr>
        <w:t xml:space="preserve">as desvinculações das participações acionárias supra mencionadas não alteram (e nem objetivam alterar) o controle ou a estrutura administrativa da Companhia, que, permanece a ser de titularidade do mesmo grupo de pessoas signatárias do Acordo, detentor, diretamente, de </w:t>
      </w:r>
      <w:bookmarkEnd w:id="3"/>
      <w:r w:rsidR="00350371" w:rsidRPr="007564CF">
        <w:rPr>
          <w:rFonts w:ascii="Arial" w:eastAsia="Times New Roman" w:hAnsi="Arial" w:cs="Arial"/>
          <w:color w:val="000000"/>
          <w:sz w:val="22"/>
          <w:lang w:eastAsia="pt-BR"/>
        </w:rPr>
        <w:t>69,59%</w:t>
      </w:r>
      <w:r w:rsidRPr="007564CF">
        <w:rPr>
          <w:rFonts w:ascii="Arial" w:hAnsi="Arial" w:cs="Arial"/>
          <w:sz w:val="22"/>
          <w:szCs w:val="20"/>
        </w:rPr>
        <w:t xml:space="preserve"> do capital social da Companhia, conforme quadro elucidativo à presente, </w:t>
      </w:r>
      <w:r w:rsidRPr="007564CF">
        <w:rPr>
          <w:rFonts w:ascii="Arial" w:hAnsi="Arial" w:cs="Arial"/>
          <w:sz w:val="22"/>
          <w:szCs w:val="20"/>
        </w:rPr>
        <w:lastRenderedPageBreak/>
        <w:t xml:space="preserve">estando vinculadas ao Acordo de Acionistas </w:t>
      </w:r>
      <w:r w:rsidR="00350371" w:rsidRPr="007564CF">
        <w:rPr>
          <w:rFonts w:ascii="Arial" w:hAnsi="Arial" w:cs="Arial"/>
          <w:sz w:val="22"/>
          <w:szCs w:val="20"/>
        </w:rPr>
        <w:t>470.000.000</w:t>
      </w:r>
      <w:r w:rsidRPr="007564CF">
        <w:rPr>
          <w:rFonts w:ascii="Arial" w:hAnsi="Arial" w:cs="Arial"/>
          <w:sz w:val="22"/>
          <w:szCs w:val="20"/>
        </w:rPr>
        <w:t xml:space="preserve"> de ações ordinárias de emissão da Companhia, representativas de </w:t>
      </w:r>
      <w:r w:rsidR="00350371" w:rsidRPr="007564CF">
        <w:rPr>
          <w:rFonts w:ascii="Arial" w:hAnsi="Arial" w:cs="Arial"/>
          <w:sz w:val="22"/>
          <w:szCs w:val="20"/>
        </w:rPr>
        <w:t>52,10%</w:t>
      </w:r>
      <w:r w:rsidRPr="007564CF">
        <w:rPr>
          <w:rFonts w:ascii="Arial" w:hAnsi="Arial" w:cs="Arial"/>
          <w:sz w:val="22"/>
          <w:szCs w:val="20"/>
        </w:rPr>
        <w:t xml:space="preserve"> do capital social da Companhia.</w:t>
      </w:r>
    </w:p>
    <w:p w14:paraId="1D7E0A3D" w14:textId="0CB6B2AD" w:rsidR="00D57034" w:rsidRPr="007564CF" w:rsidRDefault="00D57034" w:rsidP="00D57034">
      <w:pPr>
        <w:spacing w:line="276" w:lineRule="auto"/>
        <w:jc w:val="both"/>
        <w:rPr>
          <w:rFonts w:ascii="Arial" w:hAnsi="Arial" w:cs="Arial"/>
          <w:sz w:val="22"/>
          <w:szCs w:val="20"/>
        </w:rPr>
      </w:pPr>
    </w:p>
    <w:p w14:paraId="075B9AAF" w14:textId="77777777" w:rsidR="00D57034" w:rsidRPr="007564CF" w:rsidRDefault="00D57034" w:rsidP="00D57034">
      <w:pPr>
        <w:spacing w:line="276" w:lineRule="auto"/>
        <w:jc w:val="both"/>
        <w:rPr>
          <w:rFonts w:ascii="Arial" w:hAnsi="Arial" w:cs="Arial"/>
          <w:sz w:val="22"/>
          <w:szCs w:val="20"/>
        </w:rPr>
      </w:pPr>
      <w:r w:rsidRPr="007564CF">
        <w:rPr>
          <w:rFonts w:ascii="Arial" w:hAnsi="Arial" w:cs="Arial"/>
          <w:sz w:val="22"/>
          <w:szCs w:val="20"/>
        </w:rPr>
        <w:t>A cópia do Sexto Aditamento ao Acordo de Acionistas, o Comunicado ao Mercado e a comunicação das transferências à Companhia feita pelos acionistas estão disponíveis para consulta no site da CVM (</w:t>
      </w:r>
      <w:hyperlink r:id="rId7" w:history="1">
        <w:r w:rsidRPr="007564CF">
          <w:rPr>
            <w:rStyle w:val="Hyperlink"/>
            <w:rFonts w:ascii="Arial" w:hAnsi="Arial" w:cs="Arial"/>
            <w:sz w:val="22"/>
            <w:szCs w:val="20"/>
          </w:rPr>
          <w:t>http://www.cvm.gov.br</w:t>
        </w:r>
      </w:hyperlink>
      <w:r w:rsidRPr="007564CF">
        <w:rPr>
          <w:rFonts w:ascii="Arial" w:hAnsi="Arial" w:cs="Arial"/>
          <w:sz w:val="22"/>
          <w:szCs w:val="20"/>
        </w:rPr>
        <w:t>), da B3 (</w:t>
      </w:r>
      <w:hyperlink r:id="rId8" w:history="1">
        <w:r w:rsidRPr="007564CF">
          <w:rPr>
            <w:rStyle w:val="Hyperlink"/>
            <w:rFonts w:ascii="Arial" w:hAnsi="Arial" w:cs="Arial"/>
            <w:sz w:val="22"/>
            <w:szCs w:val="20"/>
          </w:rPr>
          <w:t>http://www.b3.com.br</w:t>
        </w:r>
      </w:hyperlink>
      <w:r w:rsidRPr="007564CF">
        <w:rPr>
          <w:rFonts w:ascii="Arial" w:hAnsi="Arial" w:cs="Arial"/>
          <w:sz w:val="22"/>
          <w:szCs w:val="20"/>
        </w:rPr>
        <w:t>) e da Companhia (</w:t>
      </w:r>
      <w:hyperlink r:id="rId9" w:history="1">
        <w:r w:rsidRPr="007564CF">
          <w:rPr>
            <w:rStyle w:val="Hyperlink"/>
            <w:rFonts w:ascii="Arial" w:hAnsi="Arial" w:cs="Arial"/>
            <w:sz w:val="22"/>
            <w:szCs w:val="20"/>
          </w:rPr>
          <w:t>http://ri.grendene.com.br</w:t>
        </w:r>
      </w:hyperlink>
      <w:r w:rsidRPr="007564CF">
        <w:rPr>
          <w:rFonts w:ascii="Arial" w:hAnsi="Arial" w:cs="Arial"/>
          <w:sz w:val="22"/>
          <w:szCs w:val="20"/>
        </w:rPr>
        <w:t xml:space="preserve">). </w:t>
      </w:r>
    </w:p>
    <w:p w14:paraId="6049DADA" w14:textId="2C5330AA" w:rsidR="00D57034" w:rsidRPr="007564CF" w:rsidRDefault="00D57034" w:rsidP="002C5F33">
      <w:pPr>
        <w:spacing w:line="276" w:lineRule="auto"/>
        <w:jc w:val="both"/>
        <w:rPr>
          <w:rFonts w:ascii="Arial" w:hAnsi="Arial" w:cs="Arial"/>
          <w:sz w:val="22"/>
          <w:szCs w:val="20"/>
        </w:rPr>
      </w:pPr>
    </w:p>
    <w:p w14:paraId="0E7EA661" w14:textId="77777777" w:rsidR="002C5F33" w:rsidRPr="007564CF" w:rsidRDefault="002C5F33" w:rsidP="002C5F33">
      <w:pPr>
        <w:spacing w:line="276" w:lineRule="auto"/>
        <w:jc w:val="both"/>
        <w:rPr>
          <w:rFonts w:ascii="Arial" w:hAnsi="Arial" w:cs="Arial"/>
          <w:sz w:val="22"/>
          <w:szCs w:val="20"/>
        </w:rPr>
      </w:pPr>
    </w:p>
    <w:p w14:paraId="0C5DCEA4" w14:textId="393DC006" w:rsidR="00D57034" w:rsidRPr="007564CF" w:rsidRDefault="00D57034" w:rsidP="00D57034">
      <w:pPr>
        <w:spacing w:line="276" w:lineRule="auto"/>
        <w:jc w:val="center"/>
        <w:rPr>
          <w:rFonts w:ascii="Arial" w:hAnsi="Arial" w:cs="Arial"/>
          <w:sz w:val="22"/>
          <w:szCs w:val="20"/>
        </w:rPr>
      </w:pPr>
      <w:r w:rsidRPr="007564CF">
        <w:rPr>
          <w:rFonts w:ascii="Arial" w:hAnsi="Arial" w:cs="Arial"/>
          <w:sz w:val="22"/>
          <w:szCs w:val="20"/>
        </w:rPr>
        <w:t xml:space="preserve">Sobral – CE, </w:t>
      </w:r>
      <w:r w:rsidR="00913402" w:rsidRPr="007564CF">
        <w:rPr>
          <w:rFonts w:ascii="Arial" w:hAnsi="Arial" w:cs="Arial"/>
          <w:sz w:val="22"/>
          <w:szCs w:val="20"/>
        </w:rPr>
        <w:t>07</w:t>
      </w:r>
      <w:r w:rsidR="00C24656" w:rsidRPr="007564CF">
        <w:rPr>
          <w:rFonts w:ascii="Arial" w:hAnsi="Arial" w:cs="Arial"/>
          <w:sz w:val="22"/>
          <w:szCs w:val="20"/>
        </w:rPr>
        <w:t xml:space="preserve"> de outubro </w:t>
      </w:r>
      <w:r w:rsidRPr="007564CF">
        <w:rPr>
          <w:rFonts w:ascii="Arial" w:hAnsi="Arial" w:cs="Arial"/>
          <w:sz w:val="22"/>
          <w:szCs w:val="20"/>
        </w:rPr>
        <w:t>de 2021</w:t>
      </w:r>
      <w:r w:rsidR="00C24656" w:rsidRPr="007564CF">
        <w:rPr>
          <w:rFonts w:ascii="Arial" w:hAnsi="Arial" w:cs="Arial"/>
          <w:sz w:val="22"/>
          <w:szCs w:val="20"/>
        </w:rPr>
        <w:t>.</w:t>
      </w:r>
    </w:p>
    <w:p w14:paraId="12EB8B2D" w14:textId="359ABFA3" w:rsidR="00D57034" w:rsidRPr="007564CF" w:rsidRDefault="00D57034" w:rsidP="002C5F33">
      <w:pPr>
        <w:spacing w:line="276" w:lineRule="auto"/>
        <w:jc w:val="both"/>
        <w:rPr>
          <w:rFonts w:ascii="Arial" w:hAnsi="Arial" w:cs="Arial"/>
          <w:sz w:val="22"/>
          <w:szCs w:val="20"/>
        </w:rPr>
      </w:pPr>
    </w:p>
    <w:p w14:paraId="4A2CD957" w14:textId="77777777" w:rsidR="00D57034" w:rsidRPr="007564CF" w:rsidRDefault="00D57034" w:rsidP="002C5F33">
      <w:pPr>
        <w:spacing w:line="276" w:lineRule="auto"/>
        <w:jc w:val="both"/>
        <w:rPr>
          <w:rFonts w:ascii="Arial" w:hAnsi="Arial" w:cs="Arial"/>
          <w:sz w:val="22"/>
          <w:szCs w:val="20"/>
        </w:rPr>
      </w:pPr>
    </w:p>
    <w:p w14:paraId="225286A6" w14:textId="751C73B2" w:rsidR="00D57034" w:rsidRPr="007564CF" w:rsidRDefault="00D57034" w:rsidP="00D57034">
      <w:pPr>
        <w:spacing w:line="276" w:lineRule="auto"/>
        <w:jc w:val="center"/>
        <w:rPr>
          <w:rFonts w:ascii="Arial" w:hAnsi="Arial" w:cs="Arial"/>
          <w:sz w:val="22"/>
          <w:szCs w:val="20"/>
        </w:rPr>
      </w:pPr>
      <w:r w:rsidRPr="007564CF">
        <w:rPr>
          <w:rFonts w:ascii="Arial" w:hAnsi="Arial" w:cs="Arial"/>
          <w:sz w:val="22"/>
          <w:szCs w:val="20"/>
        </w:rPr>
        <w:t>Alceu Demartini de Albuquerque</w:t>
      </w:r>
    </w:p>
    <w:p w14:paraId="53045D47" w14:textId="77777777" w:rsidR="00D57034" w:rsidRPr="007564CF" w:rsidRDefault="00D57034" w:rsidP="00D57034">
      <w:pPr>
        <w:spacing w:line="276" w:lineRule="auto"/>
        <w:jc w:val="center"/>
        <w:rPr>
          <w:rFonts w:ascii="Arial" w:hAnsi="Arial" w:cs="Arial"/>
          <w:sz w:val="22"/>
          <w:szCs w:val="20"/>
        </w:rPr>
      </w:pPr>
      <w:r w:rsidRPr="007564CF">
        <w:rPr>
          <w:rFonts w:ascii="Arial" w:hAnsi="Arial" w:cs="Arial"/>
          <w:sz w:val="22"/>
          <w:szCs w:val="20"/>
        </w:rPr>
        <w:t>Diretor de Relações com Investidores</w:t>
      </w:r>
    </w:p>
    <w:p w14:paraId="4DB32167" w14:textId="57A41E84" w:rsidR="0093511D" w:rsidRPr="007564CF" w:rsidRDefault="00D57034" w:rsidP="00D57034">
      <w:pPr>
        <w:spacing w:line="276" w:lineRule="auto"/>
        <w:jc w:val="center"/>
        <w:rPr>
          <w:rFonts w:ascii="Arial" w:hAnsi="Arial" w:cs="Arial"/>
          <w:sz w:val="22"/>
          <w:szCs w:val="20"/>
        </w:rPr>
      </w:pPr>
      <w:r w:rsidRPr="007564CF">
        <w:rPr>
          <w:rFonts w:ascii="Arial" w:hAnsi="Arial" w:cs="Arial"/>
          <w:sz w:val="22"/>
          <w:szCs w:val="20"/>
        </w:rPr>
        <w:t>Grendene S.A.</w:t>
      </w:r>
    </w:p>
    <w:sectPr w:rsidR="0093511D" w:rsidRPr="007564C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FCA5" w14:textId="77777777" w:rsidR="00A06BE9" w:rsidRDefault="00A06BE9">
      <w:pPr>
        <w:spacing w:line="240" w:lineRule="auto"/>
      </w:pPr>
      <w:r>
        <w:separator/>
      </w:r>
    </w:p>
  </w:endnote>
  <w:endnote w:type="continuationSeparator" w:id="0">
    <w:p w14:paraId="5D7F669B" w14:textId="77777777" w:rsidR="00A06BE9" w:rsidRDefault="00A06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44808"/>
      <w:docPartObj>
        <w:docPartGallery w:val="Page Numbers (Bottom of Page)"/>
        <w:docPartUnique/>
      </w:docPartObj>
    </w:sdtPr>
    <w:sdtEndPr/>
    <w:sdtContent>
      <w:p w14:paraId="7EA510AD" w14:textId="77777777" w:rsidR="00F51F7C" w:rsidRDefault="00FE1E89">
        <w:pPr>
          <w:pStyle w:val="Rodap"/>
          <w:jc w:val="center"/>
        </w:pPr>
        <w:r>
          <w:fldChar w:fldCharType="begin"/>
        </w:r>
        <w:r>
          <w:instrText>PAGE   \* MERGEFORMAT</w:instrText>
        </w:r>
        <w:r>
          <w:fldChar w:fldCharType="separate"/>
        </w:r>
        <w:r>
          <w:rPr>
            <w:noProof/>
          </w:rPr>
          <w:t>2</w:t>
        </w:r>
        <w:r>
          <w:fldChar w:fldCharType="end"/>
        </w:r>
      </w:p>
    </w:sdtContent>
  </w:sdt>
  <w:p w14:paraId="1D7DB4A9" w14:textId="77777777" w:rsidR="00F51F7C" w:rsidRDefault="00F51F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81BC" w14:textId="77777777" w:rsidR="00A06BE9" w:rsidRDefault="00A06BE9">
      <w:pPr>
        <w:spacing w:line="240" w:lineRule="auto"/>
      </w:pPr>
      <w:r>
        <w:separator/>
      </w:r>
    </w:p>
  </w:footnote>
  <w:footnote w:type="continuationSeparator" w:id="0">
    <w:p w14:paraId="27E8DD43" w14:textId="77777777" w:rsidR="00A06BE9" w:rsidRDefault="00A06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F73B" w14:textId="12808F71" w:rsidR="00F51F7C" w:rsidRDefault="00FE1E89">
    <w:pPr>
      <w:pStyle w:val="Cabealho"/>
      <w:tabs>
        <w:tab w:val="clear" w:pos="4252"/>
        <w:tab w:val="clear" w:pos="8504"/>
      </w:tabs>
    </w:pPr>
    <w:r>
      <w:rPr>
        <w:noProof/>
      </w:rPr>
      <w:drawing>
        <wp:inline distT="0" distB="0" distL="0" distR="0" wp14:anchorId="0FEE6830" wp14:editId="469EE50A">
          <wp:extent cx="1771650" cy="504825"/>
          <wp:effectExtent l="0" t="0" r="0" b="0"/>
          <wp:docPr id="1" name="Imagem 1" descr="Grend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dene"/>
                  <pic:cNvPicPr>
                    <a:picLocks noChangeAspect="1" noChangeArrowheads="1"/>
                  </pic:cNvPicPr>
                </pic:nvPicPr>
                <pic:blipFill>
                  <a:blip r:embed="rId1"/>
                  <a:srcRect b="-40898"/>
                  <a:stretch>
                    <a:fillRect/>
                  </a:stretch>
                </pic:blipFill>
                <pic:spPr bwMode="auto">
                  <a:xfrm>
                    <a:off x="0" y="0"/>
                    <a:ext cx="1771650" cy="504825"/>
                  </a:xfrm>
                  <a:prstGeom prst="rect">
                    <a:avLst/>
                  </a:prstGeom>
                  <a:noFill/>
                  <a:ln w="9525">
                    <a:noFill/>
                    <a:miter lim="800000"/>
                    <a:headEnd/>
                    <a:tailEnd/>
                  </a:ln>
                </pic:spPr>
              </pic:pic>
            </a:graphicData>
          </a:graphic>
        </wp:inline>
      </w:drawing>
    </w:r>
    <w:r>
      <w:rPr>
        <w:noProof/>
      </w:rPr>
      <w:ptab w:relativeTo="margin" w:alignment="right" w:leader="none"/>
    </w:r>
    <w:r w:rsidR="002C5F33">
      <w:rPr>
        <w:noProof/>
      </w:rPr>
      <w:drawing>
        <wp:inline distT="0" distB="0" distL="0" distR="0" wp14:anchorId="690BA0B0" wp14:editId="7E207A71">
          <wp:extent cx="1116000" cy="587369"/>
          <wp:effectExtent l="0" t="0" r="8255" b="0"/>
          <wp:docPr id="3" name="Imagem 3" descr="Placa vermelha com letras brancas em fundo pre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Placa vermelha com letras brancas em fundo preto&#10;&#10;Descrição gerada automaticamente com confiança média"/>
                  <pic:cNvPicPr/>
                </pic:nvPicPr>
                <pic:blipFill rotWithShape="1">
                  <a:blip r:embed="rId2">
                    <a:extLst>
                      <a:ext uri="{28A0092B-C50C-407E-A947-70E740481C1C}">
                        <a14:useLocalDpi xmlns:a14="http://schemas.microsoft.com/office/drawing/2010/main" val="0"/>
                      </a:ext>
                    </a:extLst>
                  </a:blip>
                  <a:srcRect t="-1" b="-28841"/>
                  <a:stretch/>
                </pic:blipFill>
                <pic:spPr bwMode="auto">
                  <a:xfrm>
                    <a:off x="0" y="0"/>
                    <a:ext cx="1116000" cy="58736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1B6"/>
    <w:multiLevelType w:val="hybridMultilevel"/>
    <w:tmpl w:val="CCC88BC6"/>
    <w:lvl w:ilvl="0" w:tplc="13F4B50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7574081"/>
    <w:multiLevelType w:val="hybridMultilevel"/>
    <w:tmpl w:val="907688A2"/>
    <w:lvl w:ilvl="0" w:tplc="1930AE26">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7C"/>
    <w:rsid w:val="00133D1E"/>
    <w:rsid w:val="001F47AE"/>
    <w:rsid w:val="002550F0"/>
    <w:rsid w:val="002C5F33"/>
    <w:rsid w:val="00350371"/>
    <w:rsid w:val="003B1B62"/>
    <w:rsid w:val="003D669C"/>
    <w:rsid w:val="0056267C"/>
    <w:rsid w:val="00603B3E"/>
    <w:rsid w:val="007240C3"/>
    <w:rsid w:val="007564CF"/>
    <w:rsid w:val="008A0DF6"/>
    <w:rsid w:val="00911EE0"/>
    <w:rsid w:val="00913402"/>
    <w:rsid w:val="0093511D"/>
    <w:rsid w:val="00A06BE9"/>
    <w:rsid w:val="00A27D81"/>
    <w:rsid w:val="00C24656"/>
    <w:rsid w:val="00C55A99"/>
    <w:rsid w:val="00D57034"/>
    <w:rsid w:val="00EB145D"/>
    <w:rsid w:val="00EF1012"/>
    <w:rsid w:val="00F51F7C"/>
    <w:rsid w:val="00FD629D"/>
    <w:rsid w:val="00FE1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E4AFB"/>
  <w15:chartTrackingRefBased/>
  <w15:docId w15:val="{3F5FD02B-A2EC-439C-A501-CCBD5AD4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60"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Pr>
      <w:color w:val="0563C1"/>
      <w:u w:val="single"/>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Pr>
      <w:color w:val="808080"/>
      <w:shd w:val="clear" w:color="auto" w:fill="E6E6E6"/>
    </w:rPr>
  </w:style>
  <w:style w:type="paragraph" w:styleId="Cabealho">
    <w:name w:val="header"/>
    <w:basedOn w:val="Normal"/>
    <w:link w:val="CabealhoChar"/>
    <w:uiPriority w:val="99"/>
    <w:unhideWhenUsed/>
    <w:pPr>
      <w:tabs>
        <w:tab w:val="center" w:pos="4252"/>
        <w:tab w:val="right" w:pos="8504"/>
      </w:tabs>
      <w:spacing w:line="240" w:lineRule="auto"/>
    </w:pPr>
  </w:style>
  <w:style w:type="character" w:customStyle="1" w:styleId="CabealhoChar">
    <w:name w:val="Cabeçalho Char"/>
    <w:basedOn w:val="Fontepargpadro"/>
    <w:link w:val="Cabealho"/>
    <w:uiPriority w:val="99"/>
    <w:rPr>
      <w:rFonts w:ascii="Times New Roman" w:eastAsia="Calibri" w:hAnsi="Times New Roman" w:cs="Times New Roman"/>
      <w:sz w:val="24"/>
    </w:rPr>
  </w:style>
  <w:style w:type="paragraph" w:styleId="Rodap">
    <w:name w:val="footer"/>
    <w:basedOn w:val="Normal"/>
    <w:link w:val="RodapChar"/>
    <w:uiPriority w:val="99"/>
    <w:unhideWhenUsed/>
    <w:pPr>
      <w:tabs>
        <w:tab w:val="center" w:pos="4252"/>
        <w:tab w:val="right" w:pos="8504"/>
      </w:tabs>
      <w:spacing w:line="240" w:lineRule="auto"/>
    </w:pPr>
  </w:style>
  <w:style w:type="character" w:customStyle="1" w:styleId="RodapChar">
    <w:name w:val="Rodapé Char"/>
    <w:basedOn w:val="Fontepargpadro"/>
    <w:link w:val="Rodap"/>
    <w:uiPriority w:val="99"/>
    <w:rPr>
      <w:rFonts w:ascii="Times New Roman" w:eastAsia="Calibri" w:hAnsi="Times New Roman" w:cs="Times New Roman"/>
      <w:sz w:val="24"/>
    </w:rPr>
  </w:style>
  <w:style w:type="paragraph" w:styleId="Textodebalo">
    <w:name w:val="Balloon Text"/>
    <w:basedOn w:val="Normal"/>
    <w:link w:val="TextodebaloChar"/>
    <w:uiPriority w:val="99"/>
    <w:semiHidden/>
    <w:unhideWhenUse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4692">
      <w:bodyDiv w:val="1"/>
      <w:marLeft w:val="0"/>
      <w:marRight w:val="0"/>
      <w:marTop w:val="0"/>
      <w:marBottom w:val="0"/>
      <w:divBdr>
        <w:top w:val="none" w:sz="0" w:space="0" w:color="auto"/>
        <w:left w:val="none" w:sz="0" w:space="0" w:color="auto"/>
        <w:bottom w:val="none" w:sz="0" w:space="0" w:color="auto"/>
        <w:right w:val="none" w:sz="0" w:space="0" w:color="auto"/>
      </w:divBdr>
    </w:div>
    <w:div w:id="465049731">
      <w:bodyDiv w:val="1"/>
      <w:marLeft w:val="0"/>
      <w:marRight w:val="0"/>
      <w:marTop w:val="0"/>
      <w:marBottom w:val="0"/>
      <w:divBdr>
        <w:top w:val="none" w:sz="0" w:space="0" w:color="auto"/>
        <w:left w:val="none" w:sz="0" w:space="0" w:color="auto"/>
        <w:bottom w:val="none" w:sz="0" w:space="0" w:color="auto"/>
        <w:right w:val="none" w:sz="0" w:space="0" w:color="auto"/>
      </w:divBdr>
    </w:div>
    <w:div w:id="1328168521">
      <w:bodyDiv w:val="1"/>
      <w:marLeft w:val="0"/>
      <w:marRight w:val="0"/>
      <w:marTop w:val="0"/>
      <w:marBottom w:val="0"/>
      <w:divBdr>
        <w:top w:val="none" w:sz="0" w:space="0" w:color="auto"/>
        <w:left w:val="none" w:sz="0" w:space="0" w:color="auto"/>
        <w:bottom w:val="none" w:sz="0" w:space="0" w:color="auto"/>
        <w:right w:val="none" w:sz="0" w:space="0" w:color="auto"/>
      </w:divBdr>
    </w:div>
    <w:div w:id="1373967492">
      <w:bodyDiv w:val="1"/>
      <w:marLeft w:val="0"/>
      <w:marRight w:val="0"/>
      <w:marTop w:val="0"/>
      <w:marBottom w:val="0"/>
      <w:divBdr>
        <w:top w:val="none" w:sz="0" w:space="0" w:color="auto"/>
        <w:left w:val="none" w:sz="0" w:space="0" w:color="auto"/>
        <w:bottom w:val="none" w:sz="0" w:space="0" w:color="auto"/>
        <w:right w:val="none" w:sz="0" w:space="0" w:color="auto"/>
      </w:divBdr>
    </w:div>
    <w:div w:id="1441417050">
      <w:bodyDiv w:val="1"/>
      <w:marLeft w:val="0"/>
      <w:marRight w:val="0"/>
      <w:marTop w:val="0"/>
      <w:marBottom w:val="0"/>
      <w:divBdr>
        <w:top w:val="none" w:sz="0" w:space="0" w:color="auto"/>
        <w:left w:val="none" w:sz="0" w:space="0" w:color="auto"/>
        <w:bottom w:val="none" w:sz="0" w:space="0" w:color="auto"/>
        <w:right w:val="none" w:sz="0" w:space="0" w:color="auto"/>
      </w:divBdr>
    </w:div>
    <w:div w:id="18601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3.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vm.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i.grendene.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486</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Alexandre Vizzotto</cp:lastModifiedBy>
  <cp:revision>12</cp:revision>
  <cp:lastPrinted>2021-10-05T17:13:00Z</cp:lastPrinted>
  <dcterms:created xsi:type="dcterms:W3CDTF">2021-08-17T14:42:00Z</dcterms:created>
  <dcterms:modified xsi:type="dcterms:W3CDTF">2021-10-07T13:07:00Z</dcterms:modified>
</cp:coreProperties>
</file>